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7F937" w14:textId="76FED13D" w:rsidR="00FA75AB" w:rsidRPr="00F85733" w:rsidRDefault="00FA75AB" w:rsidP="00FA75AB">
      <w:pPr>
        <w:spacing w:after="240" w:line="276" w:lineRule="auto"/>
        <w:ind w:left="1080" w:hanging="360"/>
        <w:jc w:val="right"/>
        <w:rPr>
          <w:b/>
          <w:bCs/>
        </w:rPr>
      </w:pPr>
      <w:bookmarkStart w:id="0" w:name="_Toc107316966"/>
      <w:bookmarkStart w:id="1" w:name="_Hlk112753595"/>
      <w:r w:rsidRPr="00F85733">
        <w:rPr>
          <w:b/>
          <w:bCs/>
        </w:rPr>
        <w:t>Załącznik nr 1g do SWZ</w:t>
      </w:r>
    </w:p>
    <w:p w14:paraId="08AE84EE" w14:textId="2224B2D8" w:rsidR="003B7C03" w:rsidRDefault="003B7C03" w:rsidP="002B053D">
      <w:pPr>
        <w:pStyle w:val="Nagwek1"/>
        <w:numPr>
          <w:ilvl w:val="0"/>
          <w:numId w:val="10"/>
        </w:numPr>
        <w:spacing w:after="240" w:line="276" w:lineRule="auto"/>
        <w:ind w:left="1701"/>
      </w:pPr>
      <w:r>
        <w:t xml:space="preserve">Zakup </w:t>
      </w:r>
      <w:r w:rsidR="00501570">
        <w:t xml:space="preserve">komputerów stacjonarnych </w:t>
      </w:r>
      <w:r>
        <w:t>(</w:t>
      </w:r>
      <w:r w:rsidR="00501570">
        <w:t>2</w:t>
      </w:r>
      <w:r>
        <w:t xml:space="preserve"> szt.).</w:t>
      </w:r>
      <w:bookmarkEnd w:id="0"/>
    </w:p>
    <w:p w14:paraId="2A2E4D5E" w14:textId="0CA773FC" w:rsidR="003B7C03" w:rsidRDefault="003B7C03" w:rsidP="003B7C03">
      <w:r>
        <w:t xml:space="preserve">Minimalne parametry techniczne </w:t>
      </w:r>
      <w:r w:rsidR="0051044F">
        <w:t>komputerów</w:t>
      </w:r>
      <w:r>
        <w:t>:</w:t>
      </w:r>
    </w:p>
    <w:p w14:paraId="4D5ADDBF" w14:textId="2F755422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Zastosowanie: Komputer </w:t>
      </w:r>
      <w:r w:rsidR="00501570">
        <w:t>stacjonarny</w:t>
      </w:r>
      <w:r>
        <w:t xml:space="preserve"> będzie wykorzystywany dla potrzeb</w:t>
      </w:r>
      <w:r w:rsidR="00F40B67">
        <w:t xml:space="preserve">y urzędu gminy oraz </w:t>
      </w:r>
      <w:r>
        <w:t xml:space="preserve">aplikacji biurowych, dostępu do </w:t>
      </w:r>
      <w:proofErr w:type="spellStart"/>
      <w:r w:rsidR="00F40B67">
        <w:t>i</w:t>
      </w:r>
      <w:r>
        <w:t>nternetu</w:t>
      </w:r>
      <w:proofErr w:type="spellEnd"/>
      <w:r>
        <w:t xml:space="preserve"> </w:t>
      </w:r>
      <w:r w:rsidR="00F40B67">
        <w:t>i</w:t>
      </w:r>
      <w:r>
        <w:t xml:space="preserve"> poczty elektronicznej.</w:t>
      </w:r>
    </w:p>
    <w:p w14:paraId="2792211D" w14:textId="684F5560" w:rsidR="00501570" w:rsidRDefault="00501570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Obudowa: typu </w:t>
      </w:r>
      <w:proofErr w:type="spellStart"/>
      <w:r>
        <w:t>AiO</w:t>
      </w:r>
      <w:proofErr w:type="spellEnd"/>
    </w:p>
    <w:p w14:paraId="09F43AC8" w14:textId="45A0894C" w:rsidR="007B4B02" w:rsidRPr="00375F76" w:rsidRDefault="00501570" w:rsidP="007B4B02">
      <w:pPr>
        <w:pStyle w:val="Akapitzlist"/>
        <w:numPr>
          <w:ilvl w:val="0"/>
          <w:numId w:val="2"/>
        </w:numPr>
        <w:spacing w:after="0" w:line="240" w:lineRule="auto"/>
        <w:ind w:right="72"/>
        <w:jc w:val="both"/>
        <w:rPr>
          <w:rFonts w:cstheme="minorHAnsi"/>
        </w:rPr>
      </w:pPr>
      <w:r>
        <w:t>Ekran</w:t>
      </w:r>
      <w:r w:rsidR="003B7C03">
        <w:t xml:space="preserve">: </w:t>
      </w:r>
      <w:r w:rsidR="007B4B02" w:rsidRPr="00661D29">
        <w:t>Panoramiczny; ciekłokrystaliczny z aktywną matrycą IPS min. 23,8”</w:t>
      </w:r>
      <w:r w:rsidR="007B4B02" w:rsidRPr="00375F76">
        <w:rPr>
          <w:rFonts w:cstheme="minorHAnsi"/>
        </w:rPr>
        <w:t xml:space="preserve">, czas reakcji matrycy: maks. </w:t>
      </w:r>
      <w:r w:rsidR="007B4B02">
        <w:rPr>
          <w:rFonts w:cstheme="minorHAnsi"/>
        </w:rPr>
        <w:t>2</w:t>
      </w:r>
      <w:r w:rsidR="007B4B02" w:rsidRPr="00375F76">
        <w:rPr>
          <w:rFonts w:cstheme="minorHAnsi"/>
        </w:rPr>
        <w:t>5 ms, kolory: min. 16.7mln, rozdzielczość: min. 1920 x 1080, powłoka powierzchni ekranu: przeciwodblaskowa</w:t>
      </w:r>
    </w:p>
    <w:p w14:paraId="15D5A35F" w14:textId="44045237" w:rsidR="0051044F" w:rsidRDefault="003B7C03" w:rsidP="0051044F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Wydajność:</w:t>
      </w:r>
      <w:r w:rsidR="0051044F">
        <w:t xml:space="preserve"> Komputer w oferowanej konfiguracji musi osiągać w teście </w:t>
      </w:r>
      <w:proofErr w:type="spellStart"/>
      <w:r w:rsidR="0051044F">
        <w:t>Bapco</w:t>
      </w:r>
      <w:proofErr w:type="spellEnd"/>
      <w:r w:rsidR="0051044F">
        <w:t xml:space="preserve"> Sysmark25 wyniki nie gorsze niż Max </w:t>
      </w:r>
      <w:proofErr w:type="spellStart"/>
      <w:r w:rsidR="0051044F">
        <w:t>Overall</w:t>
      </w:r>
      <w:proofErr w:type="spellEnd"/>
      <w:r w:rsidR="0051044F">
        <w:t xml:space="preserve"> </w:t>
      </w:r>
      <w:proofErr w:type="spellStart"/>
      <w:r w:rsidR="0051044F">
        <w:t>Score</w:t>
      </w:r>
      <w:proofErr w:type="spellEnd"/>
      <w:r w:rsidR="0051044F">
        <w:t xml:space="preserve"> – minimum 1100:</w:t>
      </w:r>
    </w:p>
    <w:p w14:paraId="3FE929FC" w14:textId="62C83736" w:rsidR="0051044F" w:rsidRDefault="0051044F" w:rsidP="0051044F">
      <w:pPr>
        <w:pStyle w:val="Akapitzlist"/>
        <w:spacing w:after="120" w:line="276" w:lineRule="auto"/>
        <w:ind w:left="360" w:right="72"/>
        <w:jc w:val="both"/>
      </w:pPr>
      <w:r>
        <w:t>Zamawiający zastrzega sobie, iż w celu sprawdzenia poprawności przeprowadzonych testów Wykonawca może zostać wezwany przy dostawie do wykonania w obecności Zamawiającego, na dwóch losowo wskazanych przez Zamawiającego komputerach, testów ich wydajności</w:t>
      </w:r>
      <w:r w:rsidRPr="00E833D9">
        <w:t>, potwierdzający zadeklarowane przez Wykonawcę wyniki wydajnościowe.</w:t>
      </w:r>
    </w:p>
    <w:p w14:paraId="6EFC8468" w14:textId="77777777" w:rsidR="0051044F" w:rsidRDefault="0051044F" w:rsidP="0051044F">
      <w:pPr>
        <w:pStyle w:val="Akapitzlist"/>
        <w:spacing w:after="120" w:line="276" w:lineRule="auto"/>
        <w:ind w:left="360" w:right="72"/>
        <w:jc w:val="both"/>
      </w:pPr>
      <w:r>
        <w:t xml:space="preserve">Wymagane testy wydajnościowe wykonawca musi przeprowadzić na automatycznych ustawieniach konfiguratora dołączonego przez firmę BAPCO i przy natywnej rozdzielczości wyświetlacza oraz włączonych wszystkich urządzaniach. Nie dopuszcza się stosowanie </w:t>
      </w:r>
      <w:proofErr w:type="spellStart"/>
      <w:r>
        <w:t>overclokingu</w:t>
      </w:r>
      <w:proofErr w:type="spellEnd"/>
      <w:r>
        <w:t>, oprogramowania wspomagającego pochodzącego z innego źródła niż fabrycznie zainstalowane oprogramowanie przez producenta, ingerowania w ustawieniach BIOS (tzn. wyłączanie urządzeń stanowiących pełną konfigurację) jak również w samym środowisku systemu (tzn. zmniejszanie rozdzielczości, jasności i kontrastu itp.)</w:t>
      </w:r>
      <w:r w:rsidRPr="00E833D9">
        <w:t>.</w:t>
      </w:r>
    </w:p>
    <w:p w14:paraId="2E6DD361" w14:textId="0A79187D" w:rsidR="0051044F" w:rsidRDefault="0051044F" w:rsidP="0051044F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Pamięć RAM: min. 16 GB; możliwość rozbudowy do min. 32 GB. Możliwość rozbudowy pamięci przez użytkownika bez kontaktu z serwisem producenta oraz bez utraty gwarancji na komputer.</w:t>
      </w:r>
    </w:p>
    <w:p w14:paraId="4653038F" w14:textId="6E3AA5D9" w:rsidR="0051044F" w:rsidRDefault="0051044F" w:rsidP="0051044F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Pamięć masowa: min. 480 GB SSD M.2 </w:t>
      </w:r>
      <w:r w:rsidRPr="00004B63">
        <w:t xml:space="preserve">zawierający </w:t>
      </w:r>
      <w:proofErr w:type="spellStart"/>
      <w:r w:rsidRPr="00004B63">
        <w:t>recovery</w:t>
      </w:r>
      <w:proofErr w:type="spellEnd"/>
      <w:r w:rsidRPr="00004B63">
        <w:t xml:space="preserve"> umożliwiające odtworzenie systemu operacyjnego fabrycznie zainstalowanego na komputerze po awarii.</w:t>
      </w:r>
    </w:p>
    <w:p w14:paraId="489C0AB2" w14:textId="720E3ECA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Multimedia: min. dwukanałowa karta dźwiękowa, zgodna z High Definition, wbudowane głośniki stereo, cyfrowy mikrofon z funkcją redukcji szumów i poprawy mowy wbudowany w obudowę matrycy. Kamera internetowa o rozdzielczości min. HD trwale zainstalowana w obudowie matrycy.</w:t>
      </w:r>
    </w:p>
    <w:p w14:paraId="33B4A596" w14:textId="49E4CF34" w:rsidR="00D34EF1" w:rsidRDefault="00D34EF1" w:rsidP="00D34EF1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Wbudowane porty i złącza: HDMI 1.4, RJ-45 (karta sieciowa wbudowana), min. </w:t>
      </w:r>
      <w:r w:rsidR="000E255D">
        <w:t>4</w:t>
      </w:r>
      <w:r>
        <w:t>xUSB w tym min. 2 port USB 3.1, współdzielone złącze słuchawkowe stereo i złącze mikrofonowe, złącze zasilania</w:t>
      </w:r>
      <w:r w:rsidR="00CE71D8">
        <w:t>.</w:t>
      </w:r>
    </w:p>
    <w:p w14:paraId="00AD80E7" w14:textId="61E78173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Zasilanie:</w:t>
      </w:r>
      <w:r w:rsidR="000E255D">
        <w:t xml:space="preserve"> wewnętrzny lub</w:t>
      </w:r>
      <w:r>
        <w:t xml:space="preserve"> fabryczny zasilacz zewnętrzny. </w:t>
      </w:r>
    </w:p>
    <w:p w14:paraId="49ECDC1E" w14:textId="51D26B0F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BIOS: zgodny ze specyfikacją UEFI, pełna obsługa za pomocą klawiatury i/lub myszy. BIOS musi umożliwiać przeprowadzenia inwentaryzacji sprzętowej poprzez wyświetlenie informacji o: wersji BIOS, numerze seryjnym, wielkości pamięci RAM, typie zainstalowanego procesora, zainstalowanym dysku twardym (pojemność, model). BIOS musi posiadać funkcję blokowania/odblokowania portów USB. BIOS musi umożliwiać ustawienie hasła dla administratora.</w:t>
      </w:r>
    </w:p>
    <w:p w14:paraId="1EC54FDE" w14:textId="67AAC6C7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Bezpieczeństwo: System diagnostyczny umożliwiający użytkownikowi przeprowadzenie wstępnej diagnostyki awarii poprzez przetestowanie: procesora, pamięci RAM, dysku, płyty głównej. Dedykowany układ szyfrujący TPM 2.0. Złącze na linkę zabezpieczającą przed kradzieżą.</w:t>
      </w:r>
    </w:p>
    <w:p w14:paraId="035D8CFC" w14:textId="6CACF499" w:rsidR="0051044F" w:rsidRDefault="0051044F" w:rsidP="0051044F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lastRenderedPageBreak/>
        <w:t xml:space="preserve">Jakość produktu i sposobu jego wykonania: Certyfikat ISO 9001 lub inny równoważny dokument poświadczający, że producent komputera opracował, wdrożył i certyfikował system zarządzania jakością i Certyfikat ISO 50001 lub inny równoważny dokument poświadczający, że producent sprzętu posiada system zarządzania energią, zmniejszający zużycie energii, wpływy na środowisko i zwiększający rentowność; Deklaracja zgodności CE lub inny równoważny dokument poświadczający, ze oferowany produkt spełnia wszystkie zasadnicze wymagania zawarte </w:t>
      </w:r>
      <w:r>
        <w:rPr>
          <w:rStyle w:val="hgkelc"/>
        </w:rPr>
        <w:t xml:space="preserve">w poszczególnych dyrektywach nowego podejścia przewidujących oznakowanie </w:t>
      </w:r>
      <w:r w:rsidRPr="009E2602">
        <w:rPr>
          <w:rStyle w:val="hgkelc"/>
        </w:rPr>
        <w:t>CE</w:t>
      </w:r>
      <w:r w:rsidRPr="009E2602">
        <w:t>;</w:t>
      </w:r>
      <w:r>
        <w:t xml:space="preserve"> Potwierdzenie spełnienia kryteriów środowiskowych, w tym zgodności z dyrektywą </w:t>
      </w:r>
      <w:proofErr w:type="spellStart"/>
      <w:r>
        <w:t>RoHS</w:t>
      </w:r>
      <w:proofErr w:type="spellEnd"/>
      <w:r>
        <w:t xml:space="preserve"> Unii Europejskiej o eliminacji substancji niebezpiecznych w postaci oświadczenia producenta jednostki lub innego dokumentu potwierdzającego spełnienie kryteriów środowiskowych w tym zgodności z dyrektywą </w:t>
      </w:r>
      <w:proofErr w:type="spellStart"/>
      <w:r>
        <w:t>RoHS</w:t>
      </w:r>
      <w:proofErr w:type="spellEnd"/>
      <w:r>
        <w:t xml:space="preserve"> Unii Europejskiej o eliminacji substancji niebezpiecznych</w:t>
      </w:r>
      <w:r w:rsidRPr="004E09E4">
        <w:t xml:space="preserve">. </w:t>
      </w:r>
    </w:p>
    <w:p w14:paraId="36F64E27" w14:textId="6C04C6B6" w:rsidR="0051044F" w:rsidRPr="004E09E4" w:rsidRDefault="009B2209" w:rsidP="0051044F">
      <w:pPr>
        <w:pStyle w:val="Akapitzlist"/>
        <w:spacing w:after="120" w:line="276" w:lineRule="auto"/>
        <w:ind w:left="360" w:right="72"/>
        <w:jc w:val="both"/>
      </w:pPr>
      <w:r>
        <w:t xml:space="preserve">Na etapie dostawy </w:t>
      </w:r>
      <w:r w:rsidR="0051044F">
        <w:t>Wykonawca może zostać wezwany przez Zamawiającego do przedstawienia wyżej określonych certyfikatów.</w:t>
      </w:r>
    </w:p>
    <w:p w14:paraId="14510B19" w14:textId="2F90C6A6" w:rsidR="003B7C03" w:rsidRDefault="00D34EF1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 w:rsidRPr="006D4EA6">
        <w:t xml:space="preserve">Oferowany </w:t>
      </w:r>
      <w:r w:rsidR="00BB2CA1">
        <w:t>komputer</w:t>
      </w:r>
      <w:r w:rsidRPr="006D4EA6">
        <w:t xml:space="preserve"> musi zostać dostarczony z licencją bezterminową oprogramowania systemu operacyjnego klasy Microsoft Windows 11 PRO lub równoważny</w:t>
      </w:r>
      <w:r w:rsidR="003B7C03" w:rsidRPr="00AD1F4B">
        <w:t xml:space="preserve"> </w:t>
      </w:r>
      <w:r w:rsidR="006911F6">
        <w:t xml:space="preserve">zapewniający możliwość podłączenie do sieci urzędu z wykorzystaniem Active Directory </w:t>
      </w:r>
      <w:r w:rsidR="003B7C03" w:rsidRPr="00AD1F4B">
        <w:t>spełniając</w:t>
      </w:r>
      <w:r w:rsidR="003B7C03">
        <w:t>ą</w:t>
      </w:r>
      <w:r w:rsidR="003B7C03" w:rsidRPr="00AD1F4B">
        <w:t xml:space="preserve"> następujące minimalne parametry: Możliwość dokonywania aktualizacji i poprawek systemu przez Internet; możliwość dokonywania uaktualnień sterowników urządzeń przez Internet – witrynę producenta systemu; Darmowe aktualizacje w ramach wersji systemu operacyjnego przez Internet (niezbędne aktualizacje, poprawki, biuletyny bezpieczeństwa muszą być dostarczane bez dodatkowych opłat) – wymagane podanie nazwy strony serwera WWW; Internetowa aktualizacja zapewniona w języku polskim; Wbudowana zapora internetowa (firewall) dla ochrony połączeń internetowych; zintegrowana z systemem konsola do zarządzania ustawieniami zapory i regułami </w:t>
      </w:r>
      <w:proofErr w:type="spellStart"/>
      <w:r w:rsidR="003B7C03" w:rsidRPr="00AD1F4B">
        <w:t>IPSec</w:t>
      </w:r>
      <w:proofErr w:type="spellEnd"/>
      <w:r w:rsidR="003B7C03" w:rsidRPr="00AD1F4B">
        <w:t xml:space="preserve"> v4 i v6; Zlokalizowane w języku polskim, co najmniej następujące elementy: menu, przeglądarka internetowa, pomoc, komunikaty systemowe; Wsparcie dla większości powszechnie używanych urządzeń peryferyjnych (np.: drukarek, urządzeń sieciowych, standardów USB, </w:t>
      </w:r>
      <w:proofErr w:type="spellStart"/>
      <w:r w:rsidR="003B7C03" w:rsidRPr="00AD1F4B">
        <w:t>Plug&amp;Play</w:t>
      </w:r>
      <w:proofErr w:type="spellEnd"/>
      <w:r w:rsidR="003B7C03" w:rsidRPr="00AD1F4B">
        <w:t>, Wi-Fi); Możliwość zdalnej automatycznej instalacji, konfiguracji, administrowania oraz aktualizowania systemu; Zabezpieczony hasłem hierarchiczny dostęp do systemu, konta i profile użytkowników zarządzane zdalnie; praca systemu w trybie ochrony kont użytkowników; Zintegrowany z systemem moduł wyszukiwania informacji (plików różnego typu) dostępny z kilku poziomów: poziom menu, poziom otwartego okna systemu operacyjnego; system wyszukiwania oparty na konfigurowalnym przez użytkownika module indeksacji zasobów lokalnych; Zintegrowane z systemem operacyjnym narzędzia zwalczające złośliwe oprogramowanie; aktualizacje dostępne u producenta nieodpłatnie bez ograniczeń czasowych; Wbudowany system pomocy w języku polskim; System operacyjny powinien być wyposażony w możliwość przystosowania stanowiska dla osób niepełnosprawnych (np. słabo widzących); Możliwość zarządzania stacją roboczą poprzez polityki – przez politykę rozumiemy zestaw reguł definiujących lub ograniczających funkcjonalność systemu lub aplikacji; System posiadać powinien narzędzia służące do administracji, do wykonywania kopii zapasowych polityk i ich odtwarzania oraz generowania raportów z ustawień polityk; Zdalna pomoc i współdzielenie aplikacji – możliwość zdalnego przejęcia sesji zalogowanego użytkownika celem rozwiązania problemu z komputerem; Graficzne środowisko instalacji i konfiguracji; Zarządzanie kontami użytkowników sieci oraz urządzeniami sieciowymi tj. drukarki, modemy, woluminy dyskowe, usługi katalogowe; Możliwość przywracania plików systemowych; Możliwość „</w:t>
      </w:r>
      <w:proofErr w:type="spellStart"/>
      <w:r w:rsidR="003B7C03" w:rsidRPr="00AD1F4B">
        <w:t>downgrade</w:t>
      </w:r>
      <w:proofErr w:type="spellEnd"/>
      <w:r w:rsidR="003B7C03" w:rsidRPr="00AD1F4B">
        <w:t>” do niższej wersji.</w:t>
      </w:r>
    </w:p>
    <w:p w14:paraId="53F5C004" w14:textId="5F4B0D08" w:rsidR="006911F6" w:rsidRPr="006D4EA6" w:rsidRDefault="006911F6" w:rsidP="006911F6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Oferowany </w:t>
      </w:r>
      <w:r w:rsidR="00BB2CA1">
        <w:t>komputer</w:t>
      </w:r>
      <w:r w:rsidRPr="006D4EA6">
        <w:t xml:space="preserve"> musi zostać dostarczony z bezterminową licencją oprogramowania pakietu biurowego klasy Microsoft Office 2021 lub równoważny. Za równoważny system pakietu biurowego Zamawiający uzna system spełniający następujące minimalne parametry:</w:t>
      </w:r>
    </w:p>
    <w:p w14:paraId="15D42AD4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 xml:space="preserve">Dostawa pełnej polskiej wersji językowej interfejsu użytkownika, w tym także systemu interaktywnej pomocy w języku polskim. Pakiet powinien mieć system aktualizacji darmowych poprawek bezpieczeństwa, przy czym komunikacja z użytkownikiem powinna odbywać się w języku polskim. Dostępność w Internecie na stronach producenta biuletynów technicznych, w tym opisów poprawek bezpieczeństwa, w języku polskim, a także telefonicznej pomocy technicznej producenta pakietu biurowego świadczonej w języku polskim w dni robocze w godzinach pracy Urzędu – cena połączenia nie większa niż cena połączenia lokalnego. Publicznie znany cykl życia przedstawiony przez producenta dotyczący rozwoju i wsparcia technicznego – w szczególności w zakresie bezpieczeństwa co najmniej 5 lat od daty zakupu. Możliwość dostosowania pakietu aplikacji biurowych do pracy dla osób niepełnosprawnych np. słabo widzących, zgodnie z wymogami Krajowych Ram Interoperacyjności (WCAG 2.0). </w:t>
      </w:r>
    </w:p>
    <w:p w14:paraId="077BC489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>Zintegrowany pakiet aplikacji biurowych musi zawierać co najmniej:</w:t>
      </w:r>
    </w:p>
    <w:p w14:paraId="322F741E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edytor tekstów,</w:t>
      </w:r>
    </w:p>
    <w:p w14:paraId="61866D2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arkusz kalkulacyjny,</w:t>
      </w:r>
    </w:p>
    <w:p w14:paraId="7D164B3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narzędzie do przygotowania i prowadzenia prezentacji,</w:t>
      </w:r>
    </w:p>
    <w:p w14:paraId="5B50FD02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narzędzie do zarządzania informacją osobistą (pocztą elektroniczną, kalendarzem, kontaktami i zadaniami).</w:t>
      </w:r>
    </w:p>
    <w:p w14:paraId="4D072931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>Edytor tekstów musi umożliwiać co najmniej:</w:t>
      </w:r>
    </w:p>
    <w:p w14:paraId="26C4131F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Edycję i formatowanie tekstu w języku polskim wraz z obsługą języka polskiego w zakresie sprawdzania pisowni i poprawności gramatycznej oraz funkcjonalnością słownika wyrazów bliskoznacznych i autokorekty.</w:t>
      </w:r>
    </w:p>
    <w:p w14:paraId="4B1E4954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Wstawianie oraz formatowanie tabel.</w:t>
      </w:r>
    </w:p>
    <w:p w14:paraId="63EFF6C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Wstawianie oraz formatowanie obiektów graficznych.</w:t>
      </w:r>
    </w:p>
    <w:p w14:paraId="07DB134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Wstawianie wykresów i tabel z arkusza kalkulacyjnego (wliczając tabele przestawne).</w:t>
      </w:r>
    </w:p>
    <w:p w14:paraId="7A7F3C3E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Automatyczne numerowanie rozdziałów, punktów, akapitów, tabel i rysunków.</w:t>
      </w:r>
    </w:p>
    <w:p w14:paraId="7E37123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Automatyczne tworzenie spisów treści.</w:t>
      </w:r>
    </w:p>
    <w:p w14:paraId="21C33714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Formatowanie nagłówków i stopek stron.</w:t>
      </w:r>
    </w:p>
    <w:p w14:paraId="5924C56B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Śledzenie i porównywanie zmian wprowadzonych przez użytkowników w dokumencie.</w:t>
      </w:r>
    </w:p>
    <w:p w14:paraId="72B67AD3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Nagrywanie, tworzenie i edycję makr automatyzujących wykonywanie czynności.</w:t>
      </w:r>
    </w:p>
    <w:p w14:paraId="5D92F28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Określenie układu strony (pionowa/pozioma).</w:t>
      </w:r>
    </w:p>
    <w:p w14:paraId="696E1075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Wydruk dokumentów.</w:t>
      </w:r>
    </w:p>
    <w:p w14:paraId="3E7A514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Wykonywanie korespondencji seryjnej bazując na danych adresowych pochodzących z arkusza kalkulacyjnego i z narzędzia do zarządzania informacją prywatną.</w:t>
      </w:r>
    </w:p>
    <w:p w14:paraId="758D563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Zabezpieczenie dokumentów hasłem przed odczytem oraz przed wprowadzaniem modyfikacji.</w:t>
      </w:r>
    </w:p>
    <w:p w14:paraId="4A31E0D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Wymagana jest dostępność do oferowanego edytora tekstu bezpłatnych narzędzi umożliwiających podpisanie podpisem elektronicznym pliku z zapisanym dokumentem przy pomocy certyfikatu kwalifikowanego zgodnie z wymaganiami obowiązującego w Polsce prawa.</w:t>
      </w:r>
    </w:p>
    <w:p w14:paraId="768A5B35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>Arkusz kalkulacyjny musi umożliwiać co najmniej:</w:t>
      </w:r>
    </w:p>
    <w:p w14:paraId="34DA03AE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raportów tabelarycznych.</w:t>
      </w:r>
    </w:p>
    <w:p w14:paraId="2ACBF4C4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wykresów liniowych (wraz linią trendu), słupkowych, kołowych.</w:t>
      </w:r>
    </w:p>
    <w:p w14:paraId="6D79D2C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arkuszy kalkulacyjnych zawierających teksty, dane liczbowe oraz formuły przeprowadzające operacje matematyczne, logiczne, tekstowe, statystyczne oraz operacje na danych finansowych i na miarach czasu.</w:t>
      </w:r>
    </w:p>
    <w:p w14:paraId="7597F262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 xml:space="preserve">Tworzenie raportów z zewnętrznych źródeł danych (inne arkusze kalkulacyjne, bazy danych zgodne z ODBC, pliki tekstowe, pliki XML, </w:t>
      </w:r>
      <w:proofErr w:type="spellStart"/>
      <w:r w:rsidRPr="00323027">
        <w:t>webservice</w:t>
      </w:r>
      <w:proofErr w:type="spellEnd"/>
      <w:r w:rsidRPr="00323027">
        <w:t>).</w:t>
      </w:r>
    </w:p>
    <w:p w14:paraId="613A8E9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Obsługę kostek OLAP oraz tworzenie i edycję kwerend bazodanowych i webowych.</w:t>
      </w:r>
    </w:p>
    <w:p w14:paraId="1E7C18FC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Narzędzia wspomagające analizę statystyczną i finansową, analizę wariantową i rozwiązywanie problemów optymalizacyjnych.</w:t>
      </w:r>
    </w:p>
    <w:p w14:paraId="19D739E4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raportów tabeli przestawnych umożliwiających dynamiczną zmianę wymiarów oraz wykresów bazujących na danych z tabeli przestawnych.</w:t>
      </w:r>
    </w:p>
    <w:p w14:paraId="70D49819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Wyszukiwanie i zamianę danych.</w:t>
      </w:r>
    </w:p>
    <w:p w14:paraId="26DBE0BC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Wykonywanie analiz danych przy użyciu formatowania warunkowego.</w:t>
      </w:r>
    </w:p>
    <w:p w14:paraId="5C494444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Nazywanie komórek arkusza i odwoływanie się w formułach po takiej nazwie.</w:t>
      </w:r>
    </w:p>
    <w:p w14:paraId="01CCD8D9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Nagrywanie, tworzenie i edycję makr automatyzujących wykonywanie czynności.</w:t>
      </w:r>
    </w:p>
    <w:p w14:paraId="2AA79EC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Formatowanie czasu, daty i wartości finansowych z polskim formatem.</w:t>
      </w:r>
    </w:p>
    <w:p w14:paraId="7B82F6A2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Zapis wielu arkuszy kalkulacyjnych w jednym pliku.</w:t>
      </w:r>
    </w:p>
    <w:p w14:paraId="6A3C9A7D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Zabezpieczenie dokumentów hasłem przed odczytem oraz przed wprowadzaniem modyfikacji.</w:t>
      </w:r>
    </w:p>
    <w:p w14:paraId="31FF8E25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>Narzędzie do przygotowywania i prowadzenia prezentacji musi umożliwiać co najmniej:</w:t>
      </w:r>
    </w:p>
    <w:p w14:paraId="33FCE80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Przygotowywanie prezentacji multimedialnych, które mogą być prezentowanie przy użyciu projektora multimedialnego.</w:t>
      </w:r>
    </w:p>
    <w:p w14:paraId="085E0C12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Drukowanie w formacie umożliwiającym robienie notatek.</w:t>
      </w:r>
    </w:p>
    <w:p w14:paraId="1B01B282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Zapisanie jako prezentacja tylko do odczytu.</w:t>
      </w:r>
    </w:p>
    <w:p w14:paraId="2B29DFE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Nagrywanie narracji i dołączanie jej do prezentacji.</w:t>
      </w:r>
    </w:p>
    <w:p w14:paraId="007F36A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Opatrywanie slajdów notatkami dla prezentera.</w:t>
      </w:r>
    </w:p>
    <w:p w14:paraId="2B604BB5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Umieszczanie i formatowanie tekstów, obiektów graficznych, tabel, nagrań dźwiękowych i wideo.</w:t>
      </w:r>
    </w:p>
    <w:p w14:paraId="28452A9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Umieszczanie tabel i wykresów pochodzących z arkusza kalkulacyjnego.</w:t>
      </w:r>
    </w:p>
    <w:p w14:paraId="007F7495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Odświeżenie wykresu znajdującego się w prezentacji po zmianie danych w źródłowym arkuszu kalkulacyjnym.</w:t>
      </w:r>
    </w:p>
    <w:p w14:paraId="34A816D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Możliwość tworzenia animacji obiektów i całych slajdów.</w:t>
      </w:r>
    </w:p>
    <w:p w14:paraId="2F7FFEDF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Prowadzenie prezentacji w trybie prezentera, gdzie slajdy są widoczne na jednym monitorze lub projektorze, a na drugim widoczne są slajdy i notatki prezentera.</w:t>
      </w:r>
    </w:p>
    <w:p w14:paraId="5C617B6A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>Narzędzie do zarządzania informacją prywatną (pocztą elektroniczną, kalendarzem, kontaktami i zadaniami) musi umożliwiać:</w:t>
      </w:r>
    </w:p>
    <w:p w14:paraId="22C87983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Pobieranie i wysyłanie poczty elektronicznej z serwera pocztowego.</w:t>
      </w:r>
    </w:p>
    <w:p w14:paraId="7FEA4E8F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Przechowywanie wiadomości na serwerze lub w lokalnym pliku tworzonym z zastosowaniem efektywnej kompresji danych.</w:t>
      </w:r>
    </w:p>
    <w:p w14:paraId="5AD4B81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Filtrowanie niechcianej poczty elektronicznej (SPAM) oraz określanie listy zablokowanych i bezpiecznych nadawców.</w:t>
      </w:r>
    </w:p>
    <w:p w14:paraId="2DA712D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katalogów, pozwalających katalogować pocztę elektroniczną.</w:t>
      </w:r>
    </w:p>
    <w:p w14:paraId="7D8981D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Automatyczne grupowanie poczty o tym samym tytule.</w:t>
      </w:r>
    </w:p>
    <w:p w14:paraId="1F46EB8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reguł przenoszących automatycznie nową pocztę elektroniczną do określonych katalogów bazując na słowach zawartych w tytule, adresie nadawcy i odbiorcy.</w:t>
      </w:r>
    </w:p>
    <w:p w14:paraId="7EC5519B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Oflagowanie poczty elektronicznej z określeniem terminu przypomnienia, oddzielnie dla nadawcy i adresatów.</w:t>
      </w:r>
    </w:p>
    <w:p w14:paraId="72D8ABC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Mechanizm ustalania liczby wiadomości, które mają być synchronizowane lokalnie.</w:t>
      </w:r>
    </w:p>
    <w:p w14:paraId="7D42F6E3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Zarządzanie kalendarzem.</w:t>
      </w:r>
    </w:p>
    <w:p w14:paraId="0D065D93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Udostępnianie kalendarza innym użytkownikom z możliwością określania uprawnień użytkowników.</w:t>
      </w:r>
    </w:p>
    <w:p w14:paraId="484094A9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Przeglądanie kalendarza innych użytkowników.</w:t>
      </w:r>
    </w:p>
    <w:p w14:paraId="7094037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Zapraszanie uczestników na spotkanie, co po ich akceptacji powoduje automatyczne wprowadzenie spotkania w ich kalendarzach.</w:t>
      </w:r>
    </w:p>
    <w:p w14:paraId="7954DD0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Zarządzanie listą zadań.</w:t>
      </w:r>
    </w:p>
    <w:p w14:paraId="47B0C47D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Zlecanie zadań innym użytkownikom.</w:t>
      </w:r>
    </w:p>
    <w:p w14:paraId="636ED2FD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Zarządzanie listą kontaktów.</w:t>
      </w:r>
    </w:p>
    <w:p w14:paraId="2DA11D1C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Udostępnianie listy kontaktów innym użytkownikom.</w:t>
      </w:r>
    </w:p>
    <w:p w14:paraId="18E695E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Przeglądanie listy kontaktów innych użytkowników.</w:t>
      </w:r>
    </w:p>
    <w:p w14:paraId="6111E435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Możliwość przesyłania kontaktów innym użytkowników.</w:t>
      </w:r>
    </w:p>
    <w:p w14:paraId="69EEC7E6" w14:textId="6B656CB9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Wymagania dodatkowe: zintegrowana karta sieci WLAN 802.11AC; klawiatura (układ US - QWERTY) z wydzieloną klawiaturą numeryczną</w:t>
      </w:r>
      <w:r w:rsidR="0051044F">
        <w:t>, mysz (</w:t>
      </w:r>
      <w:proofErr w:type="spellStart"/>
      <w:r w:rsidR="0051044F">
        <w:t>scroll</w:t>
      </w:r>
      <w:proofErr w:type="spellEnd"/>
      <w:r w:rsidR="0051044F">
        <w:t>)</w:t>
      </w:r>
    </w:p>
    <w:p w14:paraId="0877A431" w14:textId="02636843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Gwarancja: </w:t>
      </w:r>
      <w:r w:rsidRPr="0077366B">
        <w:t xml:space="preserve">min. </w:t>
      </w:r>
      <w:r w:rsidR="0051044F">
        <w:t>24</w:t>
      </w:r>
      <w:r w:rsidRPr="0077366B">
        <w:t xml:space="preserve"> miesi</w:t>
      </w:r>
      <w:r w:rsidR="0051044F">
        <w:t>ą</w:t>
      </w:r>
      <w:r w:rsidR="006911F6">
        <w:t>c</w:t>
      </w:r>
      <w:r w:rsidR="0051044F">
        <w:t>e</w:t>
      </w:r>
      <w:r w:rsidRPr="0077366B">
        <w:t xml:space="preserve"> gwarancji producenta świadczona na miejscu u użytkownika końcowego. Serwis urządzeń musi byś realizowany przez producenta lub autoryzowanego partnera serwisowego producenta. Dostęp do aktualnych sterowników zainstalowanych w komputerze urządzeń, realizowany poprzez podanie identyfikatora klienta lub modelu komputera lub numeru seryjnego komputera, na dedykowanej przez producenta stronie internetowej umożliwiającej zgłaszanie awarii lub usterek oraz sprawdzenie okresu gwarancji</w:t>
      </w:r>
      <w:r>
        <w:t>.</w:t>
      </w:r>
    </w:p>
    <w:bookmarkEnd w:id="1"/>
    <w:p w14:paraId="458DFF05" w14:textId="77777777" w:rsidR="003C08FD" w:rsidRDefault="003C08FD"/>
    <w:sectPr w:rsidR="003C08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975BF" w14:textId="77777777" w:rsidR="009B3A7F" w:rsidRDefault="009B3A7F" w:rsidP="009B2209">
      <w:pPr>
        <w:spacing w:after="0" w:line="240" w:lineRule="auto"/>
      </w:pPr>
      <w:r>
        <w:separator/>
      </w:r>
    </w:p>
  </w:endnote>
  <w:endnote w:type="continuationSeparator" w:id="0">
    <w:p w14:paraId="69A5DA60" w14:textId="77777777" w:rsidR="009B3A7F" w:rsidRDefault="009B3A7F" w:rsidP="009B2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F6E9" w14:textId="77777777" w:rsidR="009B2209" w:rsidRDefault="009B22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2868" w14:textId="77777777" w:rsidR="009B2209" w:rsidRDefault="009B22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1437" w14:textId="77777777" w:rsidR="009B2209" w:rsidRDefault="009B2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5957C" w14:textId="77777777" w:rsidR="009B3A7F" w:rsidRDefault="009B3A7F" w:rsidP="009B2209">
      <w:pPr>
        <w:spacing w:after="0" w:line="240" w:lineRule="auto"/>
      </w:pPr>
      <w:r>
        <w:separator/>
      </w:r>
    </w:p>
  </w:footnote>
  <w:footnote w:type="continuationSeparator" w:id="0">
    <w:p w14:paraId="62727E96" w14:textId="77777777" w:rsidR="009B3A7F" w:rsidRDefault="009B3A7F" w:rsidP="009B2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B154" w14:textId="77777777" w:rsidR="009B2209" w:rsidRDefault="009B22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D668" w14:textId="77777777" w:rsidR="009B2209" w:rsidRPr="00BD789C" w:rsidRDefault="009B2209" w:rsidP="009B2209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2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2"/>
  </w:p>
  <w:p w14:paraId="36E46636" w14:textId="77777777" w:rsidR="009B2209" w:rsidRDefault="009B22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3AE24" w14:textId="77777777" w:rsidR="009B2209" w:rsidRDefault="009B22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B32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7961F4"/>
    <w:multiLevelType w:val="hybridMultilevel"/>
    <w:tmpl w:val="8B2ED96A"/>
    <w:lvl w:ilvl="0" w:tplc="CB620A04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2CB60E2B"/>
    <w:multiLevelType w:val="hybridMultilevel"/>
    <w:tmpl w:val="82BE1E2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AE2E40"/>
    <w:multiLevelType w:val="multilevel"/>
    <w:tmpl w:val="00448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0CB1422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4870E6"/>
    <w:multiLevelType w:val="multilevel"/>
    <w:tmpl w:val="F12831E8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6" w15:restartNumberingAfterBreak="0">
    <w:nsid w:val="4654463D"/>
    <w:multiLevelType w:val="hybridMultilevel"/>
    <w:tmpl w:val="ACB8C42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47378ED"/>
    <w:multiLevelType w:val="multilevel"/>
    <w:tmpl w:val="FD6CE5C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589474B5"/>
    <w:multiLevelType w:val="hybridMultilevel"/>
    <w:tmpl w:val="D2D02D20"/>
    <w:lvl w:ilvl="0" w:tplc="65BE9788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B0106B8"/>
    <w:multiLevelType w:val="multilevel"/>
    <w:tmpl w:val="028AA95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2002150951">
    <w:abstractNumId w:val="0"/>
  </w:num>
  <w:num w:numId="2" w16cid:durableId="581262028">
    <w:abstractNumId w:val="2"/>
  </w:num>
  <w:num w:numId="3" w16cid:durableId="1097798127">
    <w:abstractNumId w:val="9"/>
  </w:num>
  <w:num w:numId="4" w16cid:durableId="649020833">
    <w:abstractNumId w:val="3"/>
  </w:num>
  <w:num w:numId="5" w16cid:durableId="894242852">
    <w:abstractNumId w:val="6"/>
  </w:num>
  <w:num w:numId="6" w16cid:durableId="825896987">
    <w:abstractNumId w:val="4"/>
  </w:num>
  <w:num w:numId="7" w16cid:durableId="362171002">
    <w:abstractNumId w:val="7"/>
  </w:num>
  <w:num w:numId="8" w16cid:durableId="742918744">
    <w:abstractNumId w:val="8"/>
  </w:num>
  <w:num w:numId="9" w16cid:durableId="1480999579">
    <w:abstractNumId w:val="5"/>
  </w:num>
  <w:num w:numId="10" w16cid:durableId="1442335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EBE0CBA-B2A3-4398-9A55-E30C63386339}"/>
  </w:docVars>
  <w:rsids>
    <w:rsidRoot w:val="003B7C03"/>
    <w:rsid w:val="00023DC2"/>
    <w:rsid w:val="000E255D"/>
    <w:rsid w:val="00101335"/>
    <w:rsid w:val="001425F4"/>
    <w:rsid w:val="0014485E"/>
    <w:rsid w:val="002B053D"/>
    <w:rsid w:val="003B7C03"/>
    <w:rsid w:val="003C08FD"/>
    <w:rsid w:val="00501570"/>
    <w:rsid w:val="0051044F"/>
    <w:rsid w:val="006355C6"/>
    <w:rsid w:val="006911F6"/>
    <w:rsid w:val="007B4B02"/>
    <w:rsid w:val="007F7EBA"/>
    <w:rsid w:val="00870E03"/>
    <w:rsid w:val="009B2209"/>
    <w:rsid w:val="009B3A7F"/>
    <w:rsid w:val="00A64AFE"/>
    <w:rsid w:val="00A657A8"/>
    <w:rsid w:val="00BB2CA1"/>
    <w:rsid w:val="00CE71D8"/>
    <w:rsid w:val="00D03895"/>
    <w:rsid w:val="00D34EF1"/>
    <w:rsid w:val="00D97867"/>
    <w:rsid w:val="00E665C3"/>
    <w:rsid w:val="00E66F64"/>
    <w:rsid w:val="00F40B67"/>
    <w:rsid w:val="00F85733"/>
    <w:rsid w:val="00FA75AB"/>
    <w:rsid w:val="00FF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78DC"/>
  <w15:chartTrackingRefBased/>
  <w15:docId w15:val="{B845F4D0-372B-4249-A130-F75B977F7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C03"/>
  </w:style>
  <w:style w:type="paragraph" w:styleId="Nagwek1">
    <w:name w:val="heading 1"/>
    <w:basedOn w:val="Normalny"/>
    <w:next w:val="Normalny"/>
    <w:link w:val="Nagwek1Znak"/>
    <w:uiPriority w:val="9"/>
    <w:qFormat/>
    <w:rsid w:val="003B7C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7C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3B7C03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3B7C03"/>
  </w:style>
  <w:style w:type="character" w:customStyle="1" w:styleId="hgkelc">
    <w:name w:val="hgkelc"/>
    <w:basedOn w:val="Domylnaczcionkaakapitu"/>
    <w:rsid w:val="003B7C03"/>
  </w:style>
  <w:style w:type="paragraph" w:styleId="Nagwek">
    <w:name w:val="header"/>
    <w:basedOn w:val="Normalny"/>
    <w:link w:val="NagwekZnak"/>
    <w:uiPriority w:val="99"/>
    <w:unhideWhenUsed/>
    <w:rsid w:val="009B2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209"/>
  </w:style>
  <w:style w:type="paragraph" w:styleId="Stopka">
    <w:name w:val="footer"/>
    <w:basedOn w:val="Normalny"/>
    <w:link w:val="StopkaZnak"/>
    <w:uiPriority w:val="99"/>
    <w:unhideWhenUsed/>
    <w:rsid w:val="009B2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0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EBE0CBA-B2A3-4398-9A55-E30C6338633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1985</Words>
  <Characters>11912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Lange</dc:creator>
  <cp:keywords/>
  <dc:description/>
  <cp:lastModifiedBy>Bartłomiej Kardas</cp:lastModifiedBy>
  <cp:revision>9</cp:revision>
  <dcterms:created xsi:type="dcterms:W3CDTF">2022-09-05T20:06:00Z</dcterms:created>
  <dcterms:modified xsi:type="dcterms:W3CDTF">2022-11-22T16:33:00Z</dcterms:modified>
</cp:coreProperties>
</file>